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Гражданское дело № </w:t>
      </w:r>
      <w:r>
        <w:rPr>
          <w:rFonts w:ascii="Times New Roman" w:eastAsia="Times New Roman" w:hAnsi="Times New Roman" w:cs="Times New Roman"/>
          <w:spacing w:val="26"/>
        </w:rPr>
        <w:t>02-3328/1302/2024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</w:t>
      </w:r>
      <w:r>
        <w:rPr>
          <w:rFonts w:ascii="Times New Roman" w:eastAsia="Times New Roman" w:hAnsi="Times New Roman" w:cs="Times New Roman"/>
          <w:spacing w:val="26"/>
        </w:rPr>
        <w:t>86MS0013-01-2024-007250-59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</w:p>
    <w:p>
      <w:pPr>
        <w:spacing w:before="0" w:after="0" w:line="360" w:lineRule="auto"/>
        <w:jc w:val="center"/>
        <w:rPr>
          <w:sz w:val="28"/>
          <w:szCs w:val="28"/>
        </w:rPr>
      </w:pP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РЕШЕНИЕ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г.п.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Совхозная,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Сургутского судебного района Ханты-Мансийского автономного округа-Югры Патрин А.Г., исполняя обязанности мирового судьи судебного участка № 2 Сургутского судебного района ХМАО-Югры по рассмотрению гражданских дел, на основании постановления председателя Сургутского районного суда ХМАО-Югры от 11.10.2024 г.,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Назмутдиновой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СГМУП «ГТС» обратилось в суд с иском к Софронову А.А. указав, что Истец является поставщиком коммунальных услуг (тепловая энергия на нужды отопления и/или тепловая энергия для подогрева холодной воды для нужд горячего водоснабжения и/или холодная вода для нужд горячего водоснабжения).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1/5 доли в праве собственности на жилое помещение, расположенное по адресу: </w:t>
      </w:r>
      <w:r>
        <w:rPr>
          <w:rStyle w:val="cat-UserDefinedgrp-5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является: Софронов Алексей Александрович. Долг по оплате коммунальных услуг за вышеуказанное жилое помещение за период с 01.03.2021г. по 30.06.2022г., с 01.10.2023г. по 31.10.2023г., с 01.12.2023г. по 31.12.2023г. г. составляет 11 868.06 рублей, что подтверждается расчетом суммы задолженности. Ответчик не выполняет обязательства по оплате коммунальных услуг. Пени за просрочку оплаты, начисленные за период просрочки с 13.04.2021г. по 10.07.2024г. составляют сумму 6 284.32 рублей. Общий размер задолженности Ответчика, вместе с пени составляет 18 152.38 рублей. Просят: взыскать с Софронова Алексея Александровича в пользу СГМУП «ГТС» задолженность по оплате коммунальной услуги, сложившейся за период с 01.03.2021г. по 30.06.2022г., с 01.10.2023г. по 31.10.2023г., с 01.12.2023г. по 31.12.2023г. в размере 11 868.06 руб.; взыскать с Софронова Алексея Александровича в пользу СГМУП «ГТС» пени за просрочку оплаты, начисленные за период просрочки с 13.04.2021г. по 10.07.2024г. в размере 6 284.32 рублей, с последующим их начислением на сумму основного долга 11 868.06 по день фактической оплаты долга с учетом 1/130 ставки рефинансирования Центрального банка РФ, действующей на день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фактической оплаты, за каждый день неисполнения денежного обязательства; взыскать с Софронова Алексея Александровича в пользу СГМУП «ГТС» расходы по уплате государственной пошлины в размере 726.10 руб.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и ответчик о месте и времени рассмотрения дела извещалась надлежащим образом, представитель истца представил ходатайство о рассмотрении дела в свое отсутствие, ответчик в судебное заседание не явился, о причинах неявки суд не уведомил, ходатайств не заявлял.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возможным рассмотреть дело в отсутствие представителя истца и ответчика в соответствии со ст.167 ГПК РФ.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суд приходит к следующему: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1/5 доли в праве собственности на квартиру по адресу: </w:t>
      </w:r>
      <w:r>
        <w:rPr>
          <w:rStyle w:val="cat-UserDefinedgrp-60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является поставщиком коммунальных услуг (тепловая энергия на нужды отопления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тепловая энергия для подогрева холодной воды для нужд горячего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п.6 Правил предоставления коммунальных услуг собственникам и пользователям жилых помещений в МКД и жилых домов, утвержденных Постановлением Правительства РФ № 354 от 06.05.2011 г. (далее - Правила ПП РФ № 354),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9, 10, 11 и 12 указанных Правил.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7 Правил ПП РФ № 354 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истцом и ответчиком сложились фактические договорные отношения по предоставлению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ГК РФ обязательства должны исполняться надлежащим образом в соответствии с условиями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ГК РФ, другими законами или иными правовыми актами (п. 1 ст. 310 ГК РФ).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ненадлежащим исполнением ответчиком обязательств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ответчика образовалась перед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СГМУП «ГТС» задолженность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отопления и горячего водоснабжения за период с 01.03.2021 года по 30.06.2022 года, с 01.10.2023 года по 31.10.2023 года, с 01.12.2023 года по 31.12.2023 года составляет 11 868.06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расчетом по лицевому счету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61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Иного материалы дела не содержат.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исковые требования в этой части подлежат удовлетворению.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ст. 309, 314 Гражданского Кодекса РФ обязательства должны исполняться в срок и надлежащим образом, односторонний отказ от исполнения обязательств, в силу ст. 310 Гражданского Кодекса РФ, не допускается.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14 ст. 155 Жилищного Кодекса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rFonts w:ascii="Times New Roman" w:eastAsia="Times New Roman" w:hAnsi="Times New Roman" w:cs="Times New Roman"/>
          <w:sz w:val="28"/>
          <w:szCs w:val="28"/>
        </w:rPr>
        <w:t>стотридцатой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Пени за просрочку оплаты, начисленные за период просрочки с 13.04.2021 года по 10.07.2024 года составляют сумму 6 284.32 рублей.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исков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требования в части взыскания пени также подлежат удовлетворению.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98 ГПК РФ, стороне, в пользу которой состоялось решение, суд присуждает с другой стороны понесённые по делу судебные расходы пропорционально размеру удовлетворенных требований. 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подлежат взысканию с ответчика в пользу истца расходы по уплате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>726 руб. 10 коп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194-198 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коммунальных услуг,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8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1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жительства: </w:t>
      </w:r>
      <w:r>
        <w:rPr>
          <w:rStyle w:val="cat-UserDefinedgrp-62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2rplc-7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«Городские тепловые сети» задолженность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01.03.2021 по 30.06.2022 г., с 01.10.2023 по 31.10.2023г., с 01.12.2023 по 31.12.2023г., в размере 11868 руб. 06 коп., пени за период с 13.04.2021 по 10.07.2024 г. в размере 6284 руб. 32 коп., с последующим их </w:t>
      </w:r>
      <w:r>
        <w:rPr>
          <w:rFonts w:ascii="Times New Roman" w:eastAsia="Times New Roman" w:hAnsi="Times New Roman" w:cs="Times New Roman"/>
          <w:sz w:val="28"/>
          <w:szCs w:val="28"/>
        </w:rPr>
        <w:t>начислением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основного долга 11868 руб. 06 коп. по день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 с </w:t>
      </w:r>
      <w:r>
        <w:rPr>
          <w:rFonts w:ascii="Times New Roman" w:eastAsia="Times New Roman" w:hAnsi="Times New Roman" w:cs="Times New Roman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1/130 ставки рефинансирования Центрального банка РФ, действующей на день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латы, за каждый день неисполнения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денежного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726 руб. 10 коп.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398"/>
        <w:jc w:val="both"/>
        <w:rPr>
          <w:sz w:val="28"/>
          <w:szCs w:val="28"/>
        </w:rPr>
      </w:pPr>
    </w:p>
    <w:p>
      <w:pPr>
        <w:spacing w:before="0" w:after="0"/>
        <w:ind w:firstLine="398"/>
        <w:jc w:val="both"/>
        <w:rPr>
          <w:sz w:val="28"/>
          <w:szCs w:val="28"/>
        </w:rPr>
      </w:pPr>
    </w:p>
    <w:p>
      <w:pPr>
        <w:spacing w:before="0" w:after="0"/>
        <w:ind w:firstLine="398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Патрин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71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9rplc-14">
    <w:name w:val="cat-UserDefined grp-59 rplc-14"/>
    <w:basedOn w:val="DefaultParagraphFont"/>
  </w:style>
  <w:style w:type="character" w:customStyle="1" w:styleId="cat-UserDefinedgrp-61rplc-15">
    <w:name w:val="cat-UserDefined grp-61 rplc-15"/>
    <w:basedOn w:val="DefaultParagraphFont"/>
  </w:style>
  <w:style w:type="character" w:customStyle="1" w:styleId="cat-UserDefinedgrp-60rplc-44">
    <w:name w:val="cat-UserDefined grp-60 rplc-44"/>
    <w:basedOn w:val="DefaultParagraphFont"/>
  </w:style>
  <w:style w:type="character" w:customStyle="1" w:styleId="cat-UserDefinedgrp-61rplc-53">
    <w:name w:val="cat-UserDefined grp-61 rplc-53"/>
    <w:basedOn w:val="DefaultParagraphFont"/>
  </w:style>
  <w:style w:type="character" w:customStyle="1" w:styleId="cat-ExternalSystemDefinedgrp-58rplc-63">
    <w:name w:val="cat-ExternalSystemDefined grp-58 rplc-63"/>
    <w:basedOn w:val="DefaultParagraphFont"/>
  </w:style>
  <w:style w:type="character" w:customStyle="1" w:styleId="cat-PassportDatagrp-51rplc-64">
    <w:name w:val="cat-PassportData grp-51 rplc-64"/>
    <w:basedOn w:val="DefaultParagraphFont"/>
  </w:style>
  <w:style w:type="character" w:customStyle="1" w:styleId="cat-UserDefinedgrp-62rplc-66">
    <w:name w:val="cat-UserDefined grp-62 rplc-66"/>
    <w:basedOn w:val="DefaultParagraphFont"/>
  </w:style>
  <w:style w:type="character" w:customStyle="1" w:styleId="cat-PassportDatagrp-52rplc-70">
    <w:name w:val="cat-PassportData grp-52 rplc-70"/>
    <w:basedOn w:val="DefaultParagraphFont"/>
  </w:style>
  <w:style w:type="character" w:customStyle="1" w:styleId="cat-UserDefinedgrp-63rplc-71">
    <w:name w:val="cat-UserDefined grp-63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4DD3-C73D-4C7C-894B-6B636A16E26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